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7BDF" w14:textId="77777777" w:rsidR="007920CC" w:rsidRPr="007920CC" w:rsidRDefault="007920CC" w:rsidP="007920CC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920CC">
        <w:rPr>
          <w:rFonts w:ascii="inherit" w:eastAsia="Times New Roman" w:hAnsi="inherit" w:cs="Calibri"/>
          <w:b/>
          <w:bCs/>
          <w:sz w:val="18"/>
          <w:szCs w:val="18"/>
          <w:bdr w:val="none" w:sz="0" w:space="0" w:color="auto" w:frame="1"/>
          <w:shd w:val="clear" w:color="auto" w:fill="FFFFFF"/>
          <w:lang w:val="en-AU" w:eastAsia="en-GB"/>
        </w:rPr>
        <w:t>INITIAL AND SCREENING TESTS </w:t>
      </w:r>
    </w:p>
    <w:p w14:paraId="10F8B8E3" w14:textId="77777777" w:rsidR="007920CC" w:rsidRPr="007920CC" w:rsidRDefault="007920CC" w:rsidP="007920CC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Cases of acute hepatitis in children should have the following investigations performed locally –  </w:t>
      </w:r>
    </w:p>
    <w:p w14:paraId="30D989A6" w14:textId="77777777" w:rsidR="007920CC" w:rsidRPr="007920CC" w:rsidRDefault="007920CC" w:rsidP="007920CC">
      <w:pPr>
        <w:shd w:val="clear" w:color="auto" w:fill="FFFFFF"/>
        <w:spacing w:line="235" w:lineRule="atLeast"/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1)</w:t>
      </w:r>
      <w:r w:rsidRPr="007920C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val="en-AU" w:eastAsia="en-GB"/>
        </w:rPr>
        <w:t>       </w:t>
      </w: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Baseline tests </w:t>
      </w:r>
    </w:p>
    <w:p w14:paraId="24828417" w14:textId="77777777" w:rsidR="007920CC" w:rsidRPr="007920CC" w:rsidRDefault="007920CC" w:rsidP="007920CC">
      <w:pPr>
        <w:shd w:val="clear" w:color="auto" w:fill="FFFFFF"/>
        <w:spacing w:line="235" w:lineRule="atLeast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i/>
          <w:iCs/>
          <w:color w:val="000000"/>
          <w:sz w:val="18"/>
          <w:szCs w:val="18"/>
          <w:bdr w:val="none" w:sz="0" w:space="0" w:color="auto" w:frame="1"/>
          <w:lang w:val="en-AU" w:eastAsia="en-GB"/>
        </w:rPr>
        <w:t>Full blood count, Electrolytes, Urea, Creatinine, Calcium, Magnesium, Phosphate, LFT, Coagulation studies (PT / INR), Blood culture, Ammonia, blood sugar, Venous blood gas and Urine culture, Ferritin, AFP, Covid PCR  </w:t>
      </w:r>
    </w:p>
    <w:p w14:paraId="3E123794" w14:textId="77777777" w:rsidR="007920CC" w:rsidRPr="007920CC" w:rsidRDefault="007920CC" w:rsidP="007920CC">
      <w:pPr>
        <w:shd w:val="clear" w:color="auto" w:fill="FFFFFF"/>
        <w:spacing w:line="235" w:lineRule="atLeast"/>
        <w:ind w:left="72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i/>
          <w:iCs/>
          <w:color w:val="000000"/>
          <w:sz w:val="18"/>
          <w:szCs w:val="18"/>
          <w:bdr w:val="none" w:sz="0" w:space="0" w:color="auto" w:frame="1"/>
          <w:lang w:val="en-AU" w:eastAsia="en-GB"/>
        </w:rPr>
        <w:t>Consider alternative diagnoses Immunoglobulins, autoantibodies. Copper, ceruloplasmin- depending on history </w:t>
      </w:r>
    </w:p>
    <w:p w14:paraId="5BEAFEB5" w14:textId="77777777" w:rsidR="007920CC" w:rsidRPr="007920CC" w:rsidRDefault="007920CC" w:rsidP="007920CC">
      <w:pPr>
        <w:shd w:val="clear" w:color="auto" w:fill="FFFFFF"/>
        <w:spacing w:line="235" w:lineRule="atLeast"/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2)</w:t>
      </w:r>
      <w:r w:rsidRPr="007920C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val="en-AU" w:eastAsia="en-GB"/>
        </w:rPr>
        <w:t>       </w:t>
      </w: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 xml:space="preserve">Abdominal </w:t>
      </w:r>
      <w:proofErr w:type="gramStart"/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ultrasonography :</w:t>
      </w:r>
      <w:proofErr w:type="gramEnd"/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  </w:t>
      </w:r>
      <w:r w:rsidRPr="007920CC">
        <w:rPr>
          <w:rFonts w:ascii="inherit" w:eastAsia="Times New Roman" w:hAnsi="inherit" w:cs="Calibri"/>
          <w:i/>
          <w:iCs/>
          <w:color w:val="000000"/>
          <w:sz w:val="18"/>
          <w:szCs w:val="18"/>
          <w:bdr w:val="none" w:sz="0" w:space="0" w:color="auto" w:frame="1"/>
          <w:lang w:val="en-AU" w:eastAsia="en-GB"/>
        </w:rPr>
        <w:t>Liver with doppler assessment of hepatic vessels </w:t>
      </w:r>
    </w:p>
    <w:p w14:paraId="613A4CB4" w14:textId="77777777" w:rsidR="007920CC" w:rsidRPr="007920CC" w:rsidRDefault="007920CC" w:rsidP="007920CC">
      <w:pPr>
        <w:shd w:val="clear" w:color="auto" w:fill="FFFFFF"/>
        <w:spacing w:line="235" w:lineRule="atLeast"/>
        <w:ind w:left="720" w:hanging="360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3)</w:t>
      </w:r>
      <w:r w:rsidRPr="007920CC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val="en-AU" w:eastAsia="en-GB"/>
        </w:rPr>
        <w:t>       </w:t>
      </w: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Tests as recommended by UK HAS as below:  </w:t>
      </w:r>
    </w:p>
    <w:p w14:paraId="149D8543" w14:textId="77777777" w:rsidR="007920CC" w:rsidRPr="007920CC" w:rsidRDefault="007920CC" w:rsidP="007920CC">
      <w:pPr>
        <w:shd w:val="clear" w:color="auto" w:fill="FFFFFF"/>
        <w:spacing w:line="235" w:lineRule="atLeast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7920CC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en-AU" w:eastAsia="en-GB"/>
        </w:rPr>
        <w:t> </w:t>
      </w:r>
    </w:p>
    <w:p w14:paraId="2631BD38" w14:textId="61482CF2" w:rsidR="00D4737E" w:rsidRDefault="007920CC">
      <w:r w:rsidRPr="00974A5C">
        <w:rPr>
          <w:rFonts w:cstheme="minorHAnsi"/>
          <w:noProof/>
          <w:sz w:val="18"/>
          <w:szCs w:val="18"/>
          <w:lang w:eastAsia="en-GB"/>
        </w:rPr>
        <w:drawing>
          <wp:inline distT="0" distB="0" distL="0" distR="0" wp14:anchorId="28F1242B" wp14:editId="460560CF">
            <wp:extent cx="5718810" cy="4894419"/>
            <wp:effectExtent l="0" t="0" r="0" b="190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53" cy="492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3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0CC"/>
    <w:rsid w:val="007920CC"/>
    <w:rsid w:val="00D4737E"/>
    <w:rsid w:val="00D9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2DD79"/>
  <w15:chartTrackingRefBased/>
  <w15:docId w15:val="{E8B85B19-64DE-4C80-BB20-49D52EDB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elementtoproof">
    <w:name w:val="x_elementtoproof"/>
    <w:basedOn w:val="DefaultParagraphFont"/>
    <w:rsid w:val="007920CC"/>
  </w:style>
  <w:style w:type="paragraph" w:customStyle="1" w:styleId="xmsonormal">
    <w:name w:val="x_msonormal"/>
    <w:basedOn w:val="Normal"/>
    <w:rsid w:val="007920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920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4</DocSecurity>
  <Lines>4</Lines>
  <Paragraphs>1</Paragraphs>
  <ScaleCrop>false</ScaleCrop>
  <Company>Birmingham Womens and Childrens Hospital NHS 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MOURIK, Indra (BIRMINGHAM WOMEN'S AND CHILDREN'S NHS FOUNDATION TRUST)</dc:creator>
  <cp:keywords/>
  <dc:description/>
  <cp:lastModifiedBy>Marion Schmidt (Aneurin Bevan UHB - Paediatrics)</cp:lastModifiedBy>
  <cp:revision>2</cp:revision>
  <dcterms:created xsi:type="dcterms:W3CDTF">2022-05-10T08:44:00Z</dcterms:created>
  <dcterms:modified xsi:type="dcterms:W3CDTF">2022-05-10T08:44:00Z</dcterms:modified>
</cp:coreProperties>
</file>